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7E464" w14:textId="45922B71" w:rsidR="0021374A" w:rsidRDefault="0021374A" w:rsidP="008474D2">
      <w:bookmarkStart w:id="0" w:name="_GoBack"/>
      <w:bookmarkEnd w:id="0"/>
    </w:p>
    <w:p w14:paraId="4FDEA9FE" w14:textId="415C18CB" w:rsidR="003A45EB" w:rsidRDefault="008474D2" w:rsidP="00A57857">
      <w:pPr>
        <w:pStyle w:val="Title"/>
      </w:pPr>
      <w:r>
        <w:t>Antenatal Antibodies – guidance for testing</w:t>
      </w:r>
      <w:r w:rsidR="00C670F9">
        <w:t xml:space="preserve"> </w:t>
      </w:r>
      <w:r w:rsidR="00C94C24">
        <w:t xml:space="preserve"> </w:t>
      </w:r>
    </w:p>
    <w:p w14:paraId="060A909B" w14:textId="1C10029C" w:rsidR="008474D2" w:rsidRPr="008474D2" w:rsidRDefault="008474D2" w:rsidP="008474D2"/>
    <w:p w14:paraId="555905EF" w14:textId="5015ADB8" w:rsidR="00D35501" w:rsidRDefault="003C7EF3" w:rsidP="003C7EF3">
      <w:pPr>
        <w:jc w:val="both"/>
        <w:rPr>
          <w:sz w:val="24"/>
        </w:rPr>
      </w:pPr>
      <w:r>
        <w:rPr>
          <w:sz w:val="24"/>
        </w:rPr>
        <w:t xml:space="preserve">Antibodies to red cell antigens may be detected in samples taken at booking, 28 weeks or during any other sample collection event. Red cell antibodies can develop in response to transfusion or pregnancy and are generally classified as clinically significant or non-clinically significant. Clinically significant antibodies can cause HDFN. When a red cell antibody is detected in an antenatal sample the transfusion laboratory will advise on the clinical significance and requirements for further testing. Some samples may be referred by the laboratory to the reference centre at NHSBT for </w:t>
      </w:r>
      <w:r w:rsidR="00E109CA">
        <w:rPr>
          <w:sz w:val="24"/>
        </w:rPr>
        <w:t>specialised testing.</w:t>
      </w:r>
    </w:p>
    <w:p w14:paraId="636A5CA0" w14:textId="7F7CA55E" w:rsidR="00E109CA" w:rsidRDefault="00E109CA" w:rsidP="00E109CA">
      <w:pPr>
        <w:pStyle w:val="Heading1"/>
      </w:pPr>
      <w:bookmarkStart w:id="1" w:name="_Hlk142579838"/>
      <w:r>
        <w:t>Clinically significant antibodies</w:t>
      </w:r>
    </w:p>
    <w:bookmarkEnd w:id="1"/>
    <w:p w14:paraId="01CC8478" w14:textId="77777777" w:rsidR="00E109CA" w:rsidRPr="00E109CA" w:rsidRDefault="00E109CA" w:rsidP="00E109CA">
      <w:pPr>
        <w:jc w:val="both"/>
        <w:rPr>
          <w:sz w:val="24"/>
        </w:rPr>
      </w:pPr>
      <w:r w:rsidRPr="00E109CA">
        <w:rPr>
          <w:sz w:val="24"/>
        </w:rPr>
        <w:t>In general, anti-D, c, -E, -K, -e, -Ce</w:t>
      </w:r>
      <w:r w:rsidRPr="00E109CA">
        <w:rPr>
          <w:sz w:val="24"/>
        </w:rPr>
        <w:fldChar w:fldCharType="begin"/>
      </w:r>
      <w:r w:rsidRPr="00E109CA">
        <w:rPr>
          <w:sz w:val="24"/>
        </w:rPr>
        <w:instrText xml:space="preserve"> XE "antibodies" </w:instrText>
      </w:r>
      <w:r w:rsidRPr="00E109CA">
        <w:rPr>
          <w:sz w:val="24"/>
        </w:rPr>
        <w:fldChar w:fldCharType="end"/>
      </w:r>
      <w:r w:rsidRPr="00E109CA">
        <w:rPr>
          <w:sz w:val="24"/>
        </w:rPr>
        <w:t>, -Fya, -Jka, and -Cw have the greatest potential to cause HDFN.</w:t>
      </w:r>
    </w:p>
    <w:p w14:paraId="2AF60E81" w14:textId="2D40E0E0" w:rsidR="00E109CA" w:rsidRDefault="00E109CA" w:rsidP="003C7EF3">
      <w:pPr>
        <w:jc w:val="both"/>
        <w:rPr>
          <w:sz w:val="24"/>
        </w:rPr>
      </w:pPr>
    </w:p>
    <w:p w14:paraId="2CFFB9C2" w14:textId="5D757754" w:rsidR="00E109CA" w:rsidRDefault="00E109CA" w:rsidP="003C7EF3">
      <w:pPr>
        <w:jc w:val="both"/>
        <w:rPr>
          <w:sz w:val="24"/>
        </w:rPr>
      </w:pPr>
      <w:r>
        <w:rPr>
          <w:sz w:val="24"/>
        </w:rPr>
        <w:t>Anti-D and anti-c levels are measured by quantification</w:t>
      </w:r>
      <w:r w:rsidR="00A22033">
        <w:rPr>
          <w:sz w:val="24"/>
        </w:rPr>
        <w:t xml:space="preserve"> and require testing at 4 weekly intervals before 28 weeks and then 2 weekly intervals until delivery</w:t>
      </w:r>
      <w:r>
        <w:rPr>
          <w:sz w:val="24"/>
        </w:rPr>
        <w:t>.</w:t>
      </w:r>
      <w:r w:rsidR="00A22033">
        <w:rPr>
          <w:sz w:val="24"/>
        </w:rPr>
        <w:t xml:space="preserve"> Anti-K can cause HDFN and requires testing at the same intervals but cannot be quantified.</w:t>
      </w:r>
      <w:r w:rsidR="005C7CC4">
        <w:rPr>
          <w:sz w:val="24"/>
        </w:rPr>
        <w:t xml:space="preserve"> </w:t>
      </w:r>
      <w:r w:rsidR="004A1F04">
        <w:rPr>
          <w:sz w:val="24"/>
        </w:rPr>
        <w:t>The level of o</w:t>
      </w:r>
      <w:r w:rsidR="005C7CC4">
        <w:rPr>
          <w:sz w:val="24"/>
        </w:rPr>
        <w:t xml:space="preserve">ther clinically significant antibodies </w:t>
      </w:r>
      <w:r w:rsidR="004A1F04">
        <w:rPr>
          <w:sz w:val="24"/>
        </w:rPr>
        <w:t>is measured by titration</w:t>
      </w:r>
      <w:r w:rsidR="00C77D15">
        <w:rPr>
          <w:sz w:val="24"/>
        </w:rPr>
        <w:t>.</w:t>
      </w:r>
    </w:p>
    <w:p w14:paraId="5C6AE995" w14:textId="77777777" w:rsidR="00E109CA" w:rsidRPr="003C7EF3" w:rsidRDefault="00E109CA" w:rsidP="003C7EF3">
      <w:pPr>
        <w:jc w:val="both"/>
        <w:rPr>
          <w:sz w:val="24"/>
        </w:rPr>
      </w:pPr>
    </w:p>
    <w:p w14:paraId="5912D311" w14:textId="77777777" w:rsidR="00E109CA" w:rsidRPr="00E109CA" w:rsidRDefault="00E109CA" w:rsidP="00E109CA">
      <w:pPr>
        <w:jc w:val="both"/>
        <w:rPr>
          <w:sz w:val="24"/>
        </w:rPr>
      </w:pPr>
      <w:r w:rsidRPr="00E109CA">
        <w:rPr>
          <w:sz w:val="24"/>
        </w:rPr>
        <w:t>Anti-D is the red cell alloantibody most frequently responsible for serious HDFN and generally the significance of the anti-D level during pregnancy are as follows:</w:t>
      </w:r>
    </w:p>
    <w:p w14:paraId="42380CDD" w14:textId="77777777" w:rsidR="00E109CA" w:rsidRDefault="00E109CA" w:rsidP="00E109CA"/>
    <w:p w14:paraId="7B526461" w14:textId="77777777" w:rsidR="00E109CA" w:rsidRPr="00E109CA" w:rsidRDefault="00E109CA" w:rsidP="00E109CA">
      <w:pPr>
        <w:jc w:val="both"/>
        <w:rPr>
          <w:sz w:val="24"/>
        </w:rPr>
      </w:pPr>
      <w:r w:rsidRPr="00E109CA">
        <w:rPr>
          <w:sz w:val="24"/>
        </w:rPr>
        <w:t xml:space="preserve">Anti-D </w:t>
      </w:r>
      <w:r w:rsidRPr="00E109CA">
        <w:rPr>
          <w:sz w:val="24"/>
        </w:rPr>
        <w:tab/>
        <w:t>&lt; 4 IU/ml</w:t>
      </w:r>
      <w:r w:rsidRPr="00E109CA">
        <w:rPr>
          <w:sz w:val="24"/>
        </w:rPr>
        <w:tab/>
      </w:r>
      <w:r w:rsidRPr="00E109CA">
        <w:rPr>
          <w:sz w:val="24"/>
        </w:rPr>
        <w:tab/>
        <w:t>HDFN unlikely</w:t>
      </w:r>
    </w:p>
    <w:p w14:paraId="22E1E53C" w14:textId="77777777" w:rsidR="00E109CA" w:rsidRPr="00E109CA" w:rsidRDefault="00E109CA" w:rsidP="00E109CA">
      <w:pPr>
        <w:jc w:val="both"/>
        <w:rPr>
          <w:sz w:val="24"/>
        </w:rPr>
      </w:pPr>
      <w:r w:rsidRPr="00E109CA">
        <w:rPr>
          <w:sz w:val="24"/>
        </w:rPr>
        <w:t xml:space="preserve">Anti-D </w:t>
      </w:r>
      <w:r w:rsidRPr="00E109CA">
        <w:rPr>
          <w:sz w:val="24"/>
        </w:rPr>
        <w:tab/>
        <w:t>4-15 IU/ml</w:t>
      </w:r>
      <w:r w:rsidRPr="00E109CA">
        <w:rPr>
          <w:sz w:val="24"/>
        </w:rPr>
        <w:tab/>
      </w:r>
      <w:r w:rsidRPr="00E109CA">
        <w:rPr>
          <w:sz w:val="24"/>
        </w:rPr>
        <w:tab/>
        <w:t>Moderate risk of HDFN</w:t>
      </w:r>
    </w:p>
    <w:p w14:paraId="4F23FC59" w14:textId="77777777" w:rsidR="00E109CA" w:rsidRPr="00E109CA" w:rsidRDefault="00E109CA" w:rsidP="00E109CA">
      <w:pPr>
        <w:jc w:val="both"/>
        <w:rPr>
          <w:sz w:val="24"/>
        </w:rPr>
      </w:pPr>
      <w:r w:rsidRPr="00E109CA">
        <w:rPr>
          <w:sz w:val="24"/>
        </w:rPr>
        <w:t xml:space="preserve">Anti-D </w:t>
      </w:r>
      <w:r w:rsidRPr="00E109CA">
        <w:rPr>
          <w:sz w:val="24"/>
        </w:rPr>
        <w:tab/>
        <w:t>&gt; 15 IU/ml</w:t>
      </w:r>
      <w:r w:rsidRPr="00E109CA">
        <w:rPr>
          <w:sz w:val="24"/>
        </w:rPr>
        <w:tab/>
      </w:r>
      <w:r w:rsidRPr="00E109CA">
        <w:rPr>
          <w:sz w:val="24"/>
        </w:rPr>
        <w:tab/>
        <w:t>High risk of HDFN</w:t>
      </w:r>
    </w:p>
    <w:p w14:paraId="3294BC19" w14:textId="77777777" w:rsidR="00E109CA" w:rsidRPr="00E109CA" w:rsidRDefault="00E109CA" w:rsidP="00E109CA">
      <w:pPr>
        <w:jc w:val="both"/>
        <w:rPr>
          <w:sz w:val="24"/>
        </w:rPr>
      </w:pPr>
    </w:p>
    <w:p w14:paraId="0F00D5CA" w14:textId="77777777" w:rsidR="00E109CA" w:rsidRPr="00E109CA" w:rsidRDefault="00E109CA" w:rsidP="00E109CA">
      <w:pPr>
        <w:jc w:val="both"/>
        <w:rPr>
          <w:sz w:val="24"/>
        </w:rPr>
      </w:pPr>
      <w:r w:rsidRPr="00E109CA">
        <w:rPr>
          <w:sz w:val="24"/>
        </w:rPr>
        <w:t>The significance of anti-c in pregnancy is as follows:</w:t>
      </w:r>
    </w:p>
    <w:p w14:paraId="2E165D88" w14:textId="77777777" w:rsidR="00E109CA" w:rsidRPr="00E109CA" w:rsidRDefault="00E109CA" w:rsidP="00E109CA">
      <w:pPr>
        <w:jc w:val="both"/>
        <w:rPr>
          <w:sz w:val="24"/>
        </w:rPr>
      </w:pPr>
    </w:p>
    <w:p w14:paraId="2B0EF842" w14:textId="77777777" w:rsidR="00E109CA" w:rsidRPr="00E109CA" w:rsidRDefault="00E109CA" w:rsidP="00E109CA">
      <w:pPr>
        <w:jc w:val="both"/>
        <w:rPr>
          <w:sz w:val="24"/>
        </w:rPr>
      </w:pPr>
      <w:r w:rsidRPr="00E109CA">
        <w:rPr>
          <w:sz w:val="24"/>
        </w:rPr>
        <w:t xml:space="preserve">Anti-c </w:t>
      </w:r>
      <w:r w:rsidRPr="00E109CA">
        <w:rPr>
          <w:sz w:val="24"/>
        </w:rPr>
        <w:tab/>
        <w:t>&lt; 7.5 IU/ ml</w:t>
      </w:r>
      <w:r w:rsidRPr="00E109CA">
        <w:rPr>
          <w:sz w:val="24"/>
        </w:rPr>
        <w:tab/>
      </w:r>
      <w:r w:rsidRPr="00E109CA">
        <w:rPr>
          <w:sz w:val="24"/>
        </w:rPr>
        <w:tab/>
        <w:t>HDFN unlikely</w:t>
      </w:r>
    </w:p>
    <w:p w14:paraId="7856CB3F" w14:textId="17CD3143" w:rsidR="00E109CA" w:rsidRPr="00E109CA" w:rsidRDefault="00E109CA" w:rsidP="00E109CA">
      <w:pPr>
        <w:jc w:val="both"/>
        <w:rPr>
          <w:sz w:val="24"/>
        </w:rPr>
      </w:pPr>
      <w:r w:rsidRPr="00E109CA">
        <w:rPr>
          <w:sz w:val="24"/>
        </w:rPr>
        <w:t xml:space="preserve">Anti-c </w:t>
      </w:r>
      <w:r w:rsidRPr="00E109CA">
        <w:rPr>
          <w:sz w:val="24"/>
        </w:rPr>
        <w:tab/>
        <w:t>7.5 - 9.5 IU/ml</w:t>
      </w:r>
      <w:r w:rsidRPr="00E109CA">
        <w:rPr>
          <w:sz w:val="24"/>
        </w:rPr>
        <w:tab/>
        <w:t>Moderate risk of HDFN</w:t>
      </w:r>
    </w:p>
    <w:p w14:paraId="53457EF6" w14:textId="34C036D5" w:rsidR="002D74F0" w:rsidRPr="00E109CA" w:rsidRDefault="00E109CA" w:rsidP="00E109CA">
      <w:pPr>
        <w:jc w:val="both"/>
        <w:rPr>
          <w:sz w:val="24"/>
        </w:rPr>
      </w:pPr>
      <w:r w:rsidRPr="00E109CA">
        <w:rPr>
          <w:sz w:val="24"/>
        </w:rPr>
        <w:t xml:space="preserve">Anti-c </w:t>
      </w:r>
      <w:r w:rsidRPr="00E109CA">
        <w:rPr>
          <w:sz w:val="24"/>
        </w:rPr>
        <w:tab/>
        <w:t>&gt;9.5 IU/ml</w:t>
      </w:r>
      <w:r w:rsidRPr="00E109CA">
        <w:rPr>
          <w:sz w:val="24"/>
        </w:rPr>
        <w:tab/>
      </w:r>
      <w:r w:rsidRPr="00E109CA">
        <w:rPr>
          <w:sz w:val="24"/>
        </w:rPr>
        <w:tab/>
        <w:t>High risk of HDFN</w:t>
      </w:r>
    </w:p>
    <w:p w14:paraId="6EB4AEB8" w14:textId="3D88E226" w:rsidR="002D74F0" w:rsidRDefault="002D74F0" w:rsidP="002D74F0">
      <w:pPr>
        <w:rPr>
          <w:color w:val="2F5496" w:themeColor="accent1" w:themeShade="BF"/>
          <w:sz w:val="22"/>
        </w:rPr>
      </w:pPr>
    </w:p>
    <w:p w14:paraId="249FC946" w14:textId="6AEBC244" w:rsidR="002D74F0" w:rsidRPr="00A22033" w:rsidRDefault="00A22033" w:rsidP="00A22033">
      <w:pPr>
        <w:jc w:val="both"/>
        <w:rPr>
          <w:sz w:val="24"/>
        </w:rPr>
      </w:pPr>
      <w:r w:rsidRPr="00A22033">
        <w:rPr>
          <w:sz w:val="24"/>
        </w:rPr>
        <w:t>For mother’s with anti-D, C,</w:t>
      </w:r>
      <w:r>
        <w:rPr>
          <w:sz w:val="24"/>
        </w:rPr>
        <w:t xml:space="preserve"> </w:t>
      </w:r>
      <w:r w:rsidRPr="00A22033">
        <w:rPr>
          <w:sz w:val="24"/>
        </w:rPr>
        <w:t>c, E or K</w:t>
      </w:r>
      <w:r>
        <w:rPr>
          <w:sz w:val="24"/>
        </w:rPr>
        <w:t xml:space="preserve"> </w:t>
      </w:r>
      <w:proofErr w:type="spellStart"/>
      <w:r>
        <w:rPr>
          <w:sz w:val="24"/>
        </w:rPr>
        <w:t>fetal</w:t>
      </w:r>
      <w:proofErr w:type="spellEnd"/>
      <w:r>
        <w:rPr>
          <w:sz w:val="24"/>
        </w:rPr>
        <w:t xml:space="preserve"> genotyping from a maternal sample </w:t>
      </w:r>
      <w:r w:rsidR="004B2184">
        <w:rPr>
          <w:sz w:val="24"/>
        </w:rPr>
        <w:t>should</w:t>
      </w:r>
      <w:r>
        <w:rPr>
          <w:sz w:val="24"/>
        </w:rPr>
        <w:t xml:space="preserve"> be performed to support appropriate testing and ascertain the risk to the </w:t>
      </w:r>
      <w:proofErr w:type="spellStart"/>
      <w:r>
        <w:rPr>
          <w:sz w:val="24"/>
        </w:rPr>
        <w:t>fetus</w:t>
      </w:r>
      <w:proofErr w:type="spellEnd"/>
      <w:r>
        <w:rPr>
          <w:sz w:val="24"/>
        </w:rPr>
        <w:t>.</w:t>
      </w:r>
      <w:r w:rsidR="004B2184">
        <w:rPr>
          <w:sz w:val="24"/>
        </w:rPr>
        <w:t xml:space="preserve"> Paternal phenotype can be useful in some cases, the laboratory will advise on the requirement for this test.</w:t>
      </w:r>
    </w:p>
    <w:p w14:paraId="18399AE2" w14:textId="44ED0DCD" w:rsidR="0021374A" w:rsidRPr="004B2184" w:rsidRDefault="004B2184" w:rsidP="004B2184">
      <w:pPr>
        <w:pStyle w:val="Heading1"/>
      </w:pPr>
      <w:r w:rsidRPr="004B2184">
        <w:t>Non-clinically significant antibodies</w:t>
      </w:r>
    </w:p>
    <w:p w14:paraId="3C4C0ED2" w14:textId="731EDFFB" w:rsidR="004A1F04" w:rsidRPr="004A1F04" w:rsidRDefault="004A1F04" w:rsidP="004A1F04">
      <w:pPr>
        <w:jc w:val="both"/>
        <w:rPr>
          <w:sz w:val="24"/>
        </w:rPr>
      </w:pPr>
      <w:r w:rsidRPr="004A1F04">
        <w:rPr>
          <w:sz w:val="24"/>
        </w:rPr>
        <w:t>Anti-Lea, -Leb, -P, -M, and -N have not been implicated in HDFN.</w:t>
      </w:r>
      <w:r w:rsidRPr="004A1F04">
        <w:t xml:space="preserve"> </w:t>
      </w:r>
      <w:r w:rsidRPr="004A1F04">
        <w:rPr>
          <w:sz w:val="24"/>
        </w:rPr>
        <w:t>In general, a titre of 32 or greater is likely to cause HDFN, although a clear-cut association between titre and HDFN has not been established.</w:t>
      </w:r>
    </w:p>
    <w:p w14:paraId="5430CF0C" w14:textId="6F83D560" w:rsidR="0021374A" w:rsidRDefault="0021374A" w:rsidP="00D35501">
      <w:pPr>
        <w:rPr>
          <w:color w:val="2F5496" w:themeColor="accent1" w:themeShade="BF"/>
          <w:sz w:val="22"/>
        </w:rPr>
      </w:pPr>
    </w:p>
    <w:p w14:paraId="46483720" w14:textId="73FB1450" w:rsidR="0021374A" w:rsidRDefault="00F4630C" w:rsidP="00F4630C">
      <w:pPr>
        <w:jc w:val="both"/>
        <w:rPr>
          <w:sz w:val="24"/>
        </w:rPr>
      </w:pPr>
      <w:r w:rsidRPr="00F4630C">
        <w:rPr>
          <w:sz w:val="24"/>
        </w:rPr>
        <w:t xml:space="preserve">The flow chart below summaries testing </w:t>
      </w:r>
      <w:r>
        <w:rPr>
          <w:sz w:val="24"/>
        </w:rPr>
        <w:t>requirements where</w:t>
      </w:r>
      <w:r w:rsidRPr="00F4630C">
        <w:rPr>
          <w:sz w:val="24"/>
        </w:rPr>
        <w:t xml:space="preserve"> red cell antibodies</w:t>
      </w:r>
      <w:r>
        <w:rPr>
          <w:sz w:val="24"/>
        </w:rPr>
        <w:t xml:space="preserve"> have been detected in antenatal samples.</w:t>
      </w:r>
    </w:p>
    <w:p w14:paraId="18847932" w14:textId="7238AE34" w:rsidR="0021374A" w:rsidRPr="00E7396C" w:rsidRDefault="00C14010" w:rsidP="00E7396C">
      <w:pPr>
        <w:pStyle w:val="Heading1"/>
      </w:pPr>
      <w:r w:rsidRPr="00E7396C">
        <w:t>Refer to maternity guidelines for more details</w:t>
      </w:r>
    </w:p>
    <w:p w14:paraId="037FF243" w14:textId="5E7DA112" w:rsidR="00C14010" w:rsidRDefault="00C14010" w:rsidP="00D35501">
      <w:pPr>
        <w:rPr>
          <w:color w:val="2F5496" w:themeColor="accent1" w:themeShade="BF"/>
          <w:sz w:val="22"/>
        </w:rPr>
      </w:pPr>
    </w:p>
    <w:p w14:paraId="14991A3D" w14:textId="2544DA3F" w:rsidR="00C14010" w:rsidRDefault="00C14010" w:rsidP="00D35501">
      <w:pPr>
        <w:rPr>
          <w:color w:val="2F5496" w:themeColor="accent1" w:themeShade="BF"/>
          <w:sz w:val="22"/>
        </w:rPr>
      </w:pPr>
      <w:r>
        <w:rPr>
          <w:color w:val="2F5496" w:themeColor="accent1" w:themeShade="BF"/>
          <w:sz w:val="22"/>
        </w:rPr>
        <w:t>Northern   Rh(D) negative – Antenatal and Postnatal Management (</w:t>
      </w:r>
      <w:hyperlink r:id="rId10" w:history="1">
        <w:r w:rsidR="00C77D15" w:rsidRPr="00427465">
          <w:rPr>
            <w:rStyle w:val="Hyperlink"/>
            <w:sz w:val="22"/>
          </w:rPr>
          <w:t>https://royaldevonstaff.nhs.uk/maternity-policies-and-guidelines-north</w:t>
        </w:r>
      </w:hyperlink>
      <w:r w:rsidR="00C77D15">
        <w:rPr>
          <w:color w:val="2F5496" w:themeColor="accent1" w:themeShade="BF"/>
          <w:sz w:val="22"/>
        </w:rPr>
        <w:t xml:space="preserve">)   </w:t>
      </w:r>
    </w:p>
    <w:p w14:paraId="1C2A29A1" w14:textId="69D901DC" w:rsidR="00C14010" w:rsidRDefault="00C14010" w:rsidP="00D35501">
      <w:pPr>
        <w:rPr>
          <w:color w:val="2F5496" w:themeColor="accent1" w:themeShade="BF"/>
          <w:sz w:val="22"/>
        </w:rPr>
      </w:pPr>
    </w:p>
    <w:p w14:paraId="452950C7" w14:textId="59FDFDBC" w:rsidR="00C14010" w:rsidRDefault="00C14010" w:rsidP="00D35501">
      <w:pPr>
        <w:rPr>
          <w:color w:val="2F5496" w:themeColor="accent1" w:themeShade="BF"/>
          <w:sz w:val="22"/>
        </w:rPr>
      </w:pPr>
      <w:r>
        <w:rPr>
          <w:color w:val="2F5496" w:themeColor="accent1" w:themeShade="BF"/>
          <w:sz w:val="22"/>
        </w:rPr>
        <w:t xml:space="preserve">Eastern Antenatal women who are </w:t>
      </w:r>
      <w:proofErr w:type="spellStart"/>
      <w:r>
        <w:rPr>
          <w:color w:val="2F5496" w:themeColor="accent1" w:themeShade="BF"/>
          <w:sz w:val="22"/>
        </w:rPr>
        <w:t>RhD</w:t>
      </w:r>
      <w:proofErr w:type="spellEnd"/>
      <w:r>
        <w:rPr>
          <w:color w:val="2F5496" w:themeColor="accent1" w:themeShade="BF"/>
          <w:sz w:val="22"/>
        </w:rPr>
        <w:t xml:space="preserve"> negative – management of (</w:t>
      </w:r>
      <w:hyperlink r:id="rId11" w:history="1">
        <w:r w:rsidRPr="00427465">
          <w:rPr>
            <w:rStyle w:val="Hyperlink"/>
            <w:sz w:val="22"/>
          </w:rPr>
          <w:t>https://royaldevonstaff.nhs.uk/maternity-resources-east</w:t>
        </w:r>
      </w:hyperlink>
      <w:r>
        <w:rPr>
          <w:color w:val="2F5496" w:themeColor="accent1" w:themeShade="BF"/>
          <w:sz w:val="22"/>
        </w:rPr>
        <w:t xml:space="preserve">) </w:t>
      </w:r>
    </w:p>
    <w:p w14:paraId="488E8B6B" w14:textId="1F875DF7" w:rsidR="0021374A" w:rsidRDefault="0021374A" w:rsidP="00D35501">
      <w:pPr>
        <w:rPr>
          <w:color w:val="2F5496" w:themeColor="accent1" w:themeShade="BF"/>
          <w:sz w:val="22"/>
        </w:rPr>
      </w:pPr>
    </w:p>
    <w:p w14:paraId="272C9B42" w14:textId="754CF43C" w:rsidR="0021374A" w:rsidRDefault="0021374A" w:rsidP="00D35501">
      <w:pPr>
        <w:rPr>
          <w:color w:val="2F5496" w:themeColor="accent1" w:themeShade="BF"/>
          <w:sz w:val="22"/>
        </w:rPr>
      </w:pPr>
    </w:p>
    <w:p w14:paraId="2442AA05" w14:textId="2C813DFC" w:rsidR="0021374A" w:rsidRDefault="0021374A" w:rsidP="00D35501">
      <w:pPr>
        <w:rPr>
          <w:color w:val="2F5496" w:themeColor="accent1" w:themeShade="BF"/>
          <w:sz w:val="22"/>
        </w:rPr>
      </w:pPr>
    </w:p>
    <w:p w14:paraId="7533C0EA" w14:textId="5D7CBF13" w:rsidR="0021374A" w:rsidRDefault="0021374A" w:rsidP="00D35501">
      <w:pPr>
        <w:rPr>
          <w:color w:val="2F5496" w:themeColor="accent1" w:themeShade="BF"/>
          <w:sz w:val="22"/>
        </w:rPr>
      </w:pPr>
    </w:p>
    <w:p w14:paraId="220EFA21" w14:textId="284456E0" w:rsidR="0021374A" w:rsidRDefault="00A22033" w:rsidP="00A22033">
      <w:pPr>
        <w:pStyle w:val="Heading1"/>
      </w:pPr>
      <w:r>
        <w:lastRenderedPageBreak/>
        <w:t>Flow chart for testing guidance</w:t>
      </w:r>
    </w:p>
    <w:p w14:paraId="5539CF1B" w14:textId="2710AFAE" w:rsidR="0021374A" w:rsidRDefault="00A22033" w:rsidP="00627642">
      <w:pPr>
        <w:rPr>
          <w:color w:val="2F5496" w:themeColor="accent1" w:themeShade="BF"/>
          <w:sz w:val="22"/>
        </w:rPr>
      </w:pPr>
      <w:r>
        <w:rPr>
          <w:color w:val="2F5496" w:themeColor="accent1" w:themeShade="BF"/>
          <w:sz w:val="22"/>
        </w:rPr>
        <w:t xml:space="preserve">  </w:t>
      </w:r>
      <w:r w:rsidR="00C77D15">
        <w:rPr>
          <w:noProof/>
          <w:color w:val="2F5496" w:themeColor="accent1" w:themeShade="BF"/>
          <w:sz w:val="22"/>
        </w:rPr>
        <w:drawing>
          <wp:inline distT="0" distB="0" distL="0" distR="0" wp14:anchorId="788B340A" wp14:editId="729FA0DC">
            <wp:extent cx="6439535" cy="8287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39535" cy="8287385"/>
                    </a:xfrm>
                    <a:prstGeom prst="rect">
                      <a:avLst/>
                    </a:prstGeom>
                    <a:noFill/>
                  </pic:spPr>
                </pic:pic>
              </a:graphicData>
            </a:graphic>
          </wp:inline>
        </w:drawing>
      </w:r>
    </w:p>
    <w:p w14:paraId="11C24BBE" w14:textId="77777777" w:rsidR="00565CC9" w:rsidRDefault="00565CC9" w:rsidP="00D047D5">
      <w:pPr>
        <w:pStyle w:val="Heading1"/>
      </w:pPr>
    </w:p>
    <w:sectPr w:rsidR="00565CC9" w:rsidSect="00A96FE4">
      <w:headerReference w:type="default" r:id="rId13"/>
      <w:footerReference w:type="even" r:id="rId14"/>
      <w:footerReference w:type="default" r:id="rId15"/>
      <w:pgSz w:w="11900" w:h="16840"/>
      <w:pgMar w:top="567" w:right="567" w:bottom="567" w:left="567"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3E74F" w14:textId="77777777" w:rsidR="00135F41" w:rsidRDefault="00135F41" w:rsidP="00A57857">
      <w:r>
        <w:separator/>
      </w:r>
    </w:p>
  </w:endnote>
  <w:endnote w:type="continuationSeparator" w:id="0">
    <w:p w14:paraId="445D6524" w14:textId="77777777" w:rsidR="00135F41" w:rsidRDefault="00135F41" w:rsidP="00A5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evenim MT">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76619771"/>
      <w:docPartObj>
        <w:docPartGallery w:val="Page Numbers (Bottom of Page)"/>
        <w:docPartUnique/>
      </w:docPartObj>
    </w:sdtPr>
    <w:sdtEndPr>
      <w:rPr>
        <w:rStyle w:val="PageNumber"/>
      </w:rPr>
    </w:sdtEndPr>
    <w:sdtContent>
      <w:p w14:paraId="78303C28" w14:textId="77777777" w:rsidR="00D000CB" w:rsidRDefault="00D000CB" w:rsidP="00A5785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80B72D" w14:textId="77777777" w:rsidR="00D000CB" w:rsidRDefault="00D000CB" w:rsidP="00A57857">
    <w:pPr>
      <w:pStyle w:val="Footer"/>
    </w:pPr>
  </w:p>
  <w:p w14:paraId="7E0021DF" w14:textId="77777777" w:rsidR="003E672E" w:rsidRDefault="003E672E" w:rsidP="00A57857"/>
  <w:p w14:paraId="662050D6" w14:textId="77777777" w:rsidR="003E672E" w:rsidRDefault="003E672E" w:rsidP="00A578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BAC67" w14:textId="78C61A76" w:rsidR="000969AF" w:rsidRDefault="00EF0B6D">
    <w:pPr>
      <w:pStyle w:val="Footer"/>
    </w:pPr>
    <w:r w:rsidRPr="00FD5D96">
      <w:t>HTT/</w:t>
    </w:r>
    <w:r w:rsidR="00FD5D96">
      <w:t>0132 version 1</w:t>
    </w:r>
    <w:r>
      <w:t xml:space="preserve"> </w:t>
    </w:r>
  </w:p>
  <w:p w14:paraId="20D736C8" w14:textId="77777777" w:rsidR="000969AF" w:rsidRDefault="00096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A0015" w14:textId="77777777" w:rsidR="00135F41" w:rsidRDefault="00135F41" w:rsidP="00A57857">
      <w:r>
        <w:separator/>
      </w:r>
    </w:p>
  </w:footnote>
  <w:footnote w:type="continuationSeparator" w:id="0">
    <w:p w14:paraId="6071CD0A" w14:textId="77777777" w:rsidR="00135F41" w:rsidRDefault="00135F41" w:rsidP="00A57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AB0AD" w14:textId="7EAFB98B" w:rsidR="003E672E" w:rsidRDefault="00C6097D" w:rsidP="00D35501">
    <w:pPr>
      <w:pStyle w:val="Header"/>
    </w:pPr>
    <w:r>
      <w:rPr>
        <w:noProof/>
      </w:rPr>
      <w:drawing>
        <wp:anchor distT="0" distB="0" distL="114300" distR="114300" simplePos="0" relativeHeight="251659264" behindDoc="0" locked="0" layoutInCell="1" allowOverlap="1" wp14:anchorId="1C3C1595" wp14:editId="5317728B">
          <wp:simplePos x="0" y="0"/>
          <wp:positionH relativeFrom="margin">
            <wp:align>right</wp:align>
          </wp:positionH>
          <wp:positionV relativeFrom="paragraph">
            <wp:posOffset>9998</wp:posOffset>
          </wp:positionV>
          <wp:extent cx="2480761" cy="539082"/>
          <wp:effectExtent l="57150" t="0" r="53340" b="1092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480761" cy="539082"/>
                  </a:xfrm>
                  <a:prstGeom prst="rect">
                    <a:avLst/>
                  </a:prstGeom>
                  <a:effectLst>
                    <a:outerShdw blurRad="50800" dist="50800" dir="5400000" algn="ctr" rotWithShape="0">
                      <a:sysClr val="window" lastClr="FFFFFF"/>
                    </a:outerShdw>
                  </a:effectLst>
                </pic:spPr>
              </pic:pic>
            </a:graphicData>
          </a:graphic>
        </wp:anchor>
      </w:drawing>
    </w:r>
    <w:r>
      <w:rPr>
        <w:noProof/>
      </w:rPr>
      <w:drawing>
        <wp:inline distT="0" distB="0" distL="0" distR="0" wp14:anchorId="5632FBB2" wp14:editId="32756E85">
          <wp:extent cx="1328466" cy="58479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401" cy="60016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1E16"/>
    <w:multiLevelType w:val="hybridMultilevel"/>
    <w:tmpl w:val="CA5A85D0"/>
    <w:lvl w:ilvl="0" w:tplc="5074E048">
      <w:start w:val="1"/>
      <w:numFmt w:val="decimal"/>
      <w:lvlText w:val="%1."/>
      <w:lvlJc w:val="left"/>
      <w:pPr>
        <w:ind w:left="720" w:hanging="360"/>
      </w:pPr>
    </w:lvl>
    <w:lvl w:ilvl="1" w:tplc="D4A691B4">
      <w:start w:val="1"/>
      <w:numFmt w:val="lowerLetter"/>
      <w:lvlText w:val="%2."/>
      <w:lvlJc w:val="left"/>
      <w:pPr>
        <w:ind w:left="1080" w:hanging="360"/>
      </w:pPr>
    </w:lvl>
    <w:lvl w:ilvl="2" w:tplc="4050CCD4">
      <w:start w:val="1"/>
      <w:numFmt w:val="lowerRoman"/>
      <w:lvlText w:val="%3."/>
      <w:lvlJc w:val="left"/>
      <w:pPr>
        <w:ind w:left="1400" w:hanging="360"/>
      </w:pPr>
    </w:lvl>
    <w:lvl w:ilvl="3" w:tplc="5E5A399E">
      <w:numFmt w:val="decimal"/>
      <w:lvlText w:val=""/>
      <w:lvlJc w:val="left"/>
    </w:lvl>
    <w:lvl w:ilvl="4" w:tplc="E0301380">
      <w:numFmt w:val="decimal"/>
      <w:lvlText w:val=""/>
      <w:lvlJc w:val="left"/>
    </w:lvl>
    <w:lvl w:ilvl="5" w:tplc="9BD82CE0">
      <w:numFmt w:val="decimal"/>
      <w:lvlText w:val=""/>
      <w:lvlJc w:val="left"/>
    </w:lvl>
    <w:lvl w:ilvl="6" w:tplc="FE3A98BC">
      <w:numFmt w:val="decimal"/>
      <w:lvlText w:val=""/>
      <w:lvlJc w:val="left"/>
    </w:lvl>
    <w:lvl w:ilvl="7" w:tplc="E3EA242E">
      <w:numFmt w:val="decimal"/>
      <w:lvlText w:val=""/>
      <w:lvlJc w:val="left"/>
    </w:lvl>
    <w:lvl w:ilvl="8" w:tplc="6492B034">
      <w:numFmt w:val="decimal"/>
      <w:lvlText w:val=""/>
      <w:lvlJc w:val="left"/>
    </w:lvl>
  </w:abstractNum>
  <w:abstractNum w:abstractNumId="1" w15:restartNumberingAfterBreak="0">
    <w:nsid w:val="410C3DE2"/>
    <w:multiLevelType w:val="hybridMultilevel"/>
    <w:tmpl w:val="8D5ECA4C"/>
    <w:lvl w:ilvl="0" w:tplc="7C506EFA">
      <w:start w:val="1"/>
      <w:numFmt w:val="decimal"/>
      <w:lvlText w:val="%1."/>
      <w:lvlJc w:val="left"/>
      <w:pPr>
        <w:ind w:left="720" w:hanging="360"/>
      </w:pPr>
    </w:lvl>
    <w:lvl w:ilvl="1" w:tplc="E08CE80A">
      <w:start w:val="1"/>
      <w:numFmt w:val="lowerLetter"/>
      <w:lvlText w:val="%2."/>
      <w:lvlJc w:val="left"/>
      <w:pPr>
        <w:ind w:left="1080" w:hanging="360"/>
      </w:pPr>
    </w:lvl>
    <w:lvl w:ilvl="2" w:tplc="7A9E644C">
      <w:start w:val="1"/>
      <w:numFmt w:val="lowerRoman"/>
      <w:lvlText w:val="%3."/>
      <w:lvlJc w:val="left"/>
      <w:pPr>
        <w:ind w:left="1400" w:hanging="360"/>
      </w:pPr>
    </w:lvl>
    <w:lvl w:ilvl="3" w:tplc="2930648C">
      <w:numFmt w:val="decimal"/>
      <w:lvlText w:val=""/>
      <w:lvlJc w:val="left"/>
    </w:lvl>
    <w:lvl w:ilvl="4" w:tplc="A720151C">
      <w:numFmt w:val="decimal"/>
      <w:lvlText w:val=""/>
      <w:lvlJc w:val="left"/>
    </w:lvl>
    <w:lvl w:ilvl="5" w:tplc="383CC7F6">
      <w:numFmt w:val="decimal"/>
      <w:lvlText w:val=""/>
      <w:lvlJc w:val="left"/>
    </w:lvl>
    <w:lvl w:ilvl="6" w:tplc="B8E6DC14">
      <w:numFmt w:val="decimal"/>
      <w:lvlText w:val=""/>
      <w:lvlJc w:val="left"/>
    </w:lvl>
    <w:lvl w:ilvl="7" w:tplc="66401CCC">
      <w:numFmt w:val="decimal"/>
      <w:lvlText w:val=""/>
      <w:lvlJc w:val="left"/>
    </w:lvl>
    <w:lvl w:ilvl="8" w:tplc="140A320C">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9F"/>
    <w:rsid w:val="000321A2"/>
    <w:rsid w:val="00052521"/>
    <w:rsid w:val="00065384"/>
    <w:rsid w:val="0008132D"/>
    <w:rsid w:val="000969AF"/>
    <w:rsid w:val="00114EC8"/>
    <w:rsid w:val="00135F41"/>
    <w:rsid w:val="001435AE"/>
    <w:rsid w:val="00145EF5"/>
    <w:rsid w:val="0014702E"/>
    <w:rsid w:val="0021374A"/>
    <w:rsid w:val="00274335"/>
    <w:rsid w:val="00274AE5"/>
    <w:rsid w:val="002A6FBD"/>
    <w:rsid w:val="002C02F5"/>
    <w:rsid w:val="002D5CA5"/>
    <w:rsid w:val="002D74F0"/>
    <w:rsid w:val="002E1273"/>
    <w:rsid w:val="002E49F3"/>
    <w:rsid w:val="00337731"/>
    <w:rsid w:val="00337E39"/>
    <w:rsid w:val="00347F4A"/>
    <w:rsid w:val="003A45EB"/>
    <w:rsid w:val="003C7EF3"/>
    <w:rsid w:val="003E672E"/>
    <w:rsid w:val="00467819"/>
    <w:rsid w:val="004978F9"/>
    <w:rsid w:val="004A1F04"/>
    <w:rsid w:val="004B2184"/>
    <w:rsid w:val="005212CE"/>
    <w:rsid w:val="0052435A"/>
    <w:rsid w:val="00565CC9"/>
    <w:rsid w:val="00597118"/>
    <w:rsid w:val="005B10AA"/>
    <w:rsid w:val="005C7CC4"/>
    <w:rsid w:val="0060532C"/>
    <w:rsid w:val="006108CA"/>
    <w:rsid w:val="00627642"/>
    <w:rsid w:val="006505D3"/>
    <w:rsid w:val="006E1BF4"/>
    <w:rsid w:val="00736A11"/>
    <w:rsid w:val="0077014A"/>
    <w:rsid w:val="00781979"/>
    <w:rsid w:val="0079549F"/>
    <w:rsid w:val="007B1E89"/>
    <w:rsid w:val="007E0E88"/>
    <w:rsid w:val="007F0A9A"/>
    <w:rsid w:val="008474D2"/>
    <w:rsid w:val="008B5C7B"/>
    <w:rsid w:val="008C7079"/>
    <w:rsid w:val="008F3546"/>
    <w:rsid w:val="009207A3"/>
    <w:rsid w:val="00920AB0"/>
    <w:rsid w:val="00957A04"/>
    <w:rsid w:val="00957AFD"/>
    <w:rsid w:val="009B1331"/>
    <w:rsid w:val="009E15AE"/>
    <w:rsid w:val="00A22033"/>
    <w:rsid w:val="00A31E2A"/>
    <w:rsid w:val="00A43DA6"/>
    <w:rsid w:val="00A57857"/>
    <w:rsid w:val="00A70876"/>
    <w:rsid w:val="00A96FE4"/>
    <w:rsid w:val="00AE0053"/>
    <w:rsid w:val="00AE0D9D"/>
    <w:rsid w:val="00AF544F"/>
    <w:rsid w:val="00B40ACB"/>
    <w:rsid w:val="00B61557"/>
    <w:rsid w:val="00BA502C"/>
    <w:rsid w:val="00BC7EAF"/>
    <w:rsid w:val="00BD346A"/>
    <w:rsid w:val="00BE4243"/>
    <w:rsid w:val="00C05546"/>
    <w:rsid w:val="00C14010"/>
    <w:rsid w:val="00C263D7"/>
    <w:rsid w:val="00C41C11"/>
    <w:rsid w:val="00C54CF3"/>
    <w:rsid w:val="00C6097D"/>
    <w:rsid w:val="00C670F9"/>
    <w:rsid w:val="00C74E94"/>
    <w:rsid w:val="00C77D15"/>
    <w:rsid w:val="00C94C24"/>
    <w:rsid w:val="00CD3491"/>
    <w:rsid w:val="00D000CB"/>
    <w:rsid w:val="00D047D5"/>
    <w:rsid w:val="00D14262"/>
    <w:rsid w:val="00D35501"/>
    <w:rsid w:val="00D46020"/>
    <w:rsid w:val="00DC4FF1"/>
    <w:rsid w:val="00DE6FD8"/>
    <w:rsid w:val="00E02057"/>
    <w:rsid w:val="00E109CA"/>
    <w:rsid w:val="00E7396C"/>
    <w:rsid w:val="00EE76E5"/>
    <w:rsid w:val="00EF0B6D"/>
    <w:rsid w:val="00F20160"/>
    <w:rsid w:val="00F4630C"/>
    <w:rsid w:val="00F60805"/>
    <w:rsid w:val="00F90D72"/>
    <w:rsid w:val="00F9687D"/>
    <w:rsid w:val="00FC3F93"/>
    <w:rsid w:val="00FC48F6"/>
    <w:rsid w:val="00FD216D"/>
    <w:rsid w:val="00FD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630A01"/>
  <w15:chartTrackingRefBased/>
  <w15:docId w15:val="{3215D5BD-379E-4A0E-8F89-4ECACB0D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857"/>
    <w:rPr>
      <w:sz w:val="20"/>
    </w:rPr>
  </w:style>
  <w:style w:type="paragraph" w:styleId="Heading1">
    <w:name w:val="heading 1"/>
    <w:basedOn w:val="Normal"/>
    <w:next w:val="Normal"/>
    <w:link w:val="Heading1Char"/>
    <w:uiPriority w:val="9"/>
    <w:qFormat/>
    <w:rsid w:val="007E0E88"/>
    <w:pPr>
      <w:keepNext/>
      <w:keepLines/>
      <w:spacing w:before="24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0E88"/>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0CB"/>
    <w:pPr>
      <w:tabs>
        <w:tab w:val="center" w:pos="4680"/>
        <w:tab w:val="right" w:pos="9360"/>
      </w:tabs>
    </w:pPr>
  </w:style>
  <w:style w:type="character" w:customStyle="1" w:styleId="HeaderChar">
    <w:name w:val="Header Char"/>
    <w:basedOn w:val="DefaultParagraphFont"/>
    <w:link w:val="Header"/>
    <w:uiPriority w:val="99"/>
    <w:rsid w:val="00D000CB"/>
  </w:style>
  <w:style w:type="paragraph" w:styleId="Footer">
    <w:name w:val="footer"/>
    <w:basedOn w:val="Normal"/>
    <w:link w:val="FooterChar"/>
    <w:uiPriority w:val="99"/>
    <w:unhideWhenUsed/>
    <w:rsid w:val="00D000CB"/>
    <w:pPr>
      <w:tabs>
        <w:tab w:val="center" w:pos="4680"/>
        <w:tab w:val="right" w:pos="9360"/>
      </w:tabs>
    </w:pPr>
  </w:style>
  <w:style w:type="character" w:customStyle="1" w:styleId="FooterChar">
    <w:name w:val="Footer Char"/>
    <w:basedOn w:val="DefaultParagraphFont"/>
    <w:link w:val="Footer"/>
    <w:uiPriority w:val="99"/>
    <w:rsid w:val="00D000CB"/>
  </w:style>
  <w:style w:type="table" w:styleId="TableGrid">
    <w:name w:val="Table Grid"/>
    <w:basedOn w:val="TableNormal"/>
    <w:uiPriority w:val="39"/>
    <w:rsid w:val="00D00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000CB"/>
  </w:style>
  <w:style w:type="character" w:customStyle="1" w:styleId="Heading1Char">
    <w:name w:val="Heading 1 Char"/>
    <w:basedOn w:val="DefaultParagraphFont"/>
    <w:link w:val="Heading1"/>
    <w:uiPriority w:val="9"/>
    <w:rsid w:val="007E0E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0E88"/>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7E0E88"/>
    <w:pPr>
      <w:spacing w:before="120" w:after="120"/>
    </w:pPr>
    <w:rPr>
      <w:color w:val="2F5496" w:themeColor="accent1" w:themeShade="BF"/>
      <w:sz w:val="24"/>
    </w:rPr>
  </w:style>
  <w:style w:type="character" w:customStyle="1" w:styleId="SubtitleChar">
    <w:name w:val="Subtitle Char"/>
    <w:basedOn w:val="DefaultParagraphFont"/>
    <w:link w:val="Subtitle"/>
    <w:uiPriority w:val="11"/>
    <w:rsid w:val="007E0E88"/>
    <w:rPr>
      <w:color w:val="2F5496" w:themeColor="accent1" w:themeShade="BF"/>
    </w:rPr>
  </w:style>
  <w:style w:type="character" w:styleId="IntenseEmphasis">
    <w:name w:val="Intense Emphasis"/>
    <w:basedOn w:val="DefaultParagraphFont"/>
    <w:uiPriority w:val="21"/>
    <w:qFormat/>
    <w:rsid w:val="00A57857"/>
    <w:rPr>
      <w:i/>
      <w:iCs/>
      <w:color w:val="4472C4" w:themeColor="accent1"/>
    </w:rPr>
  </w:style>
  <w:style w:type="character" w:styleId="Emphasis">
    <w:name w:val="Emphasis"/>
    <w:basedOn w:val="DefaultParagraphFont"/>
    <w:uiPriority w:val="20"/>
    <w:qFormat/>
    <w:rsid w:val="00A57857"/>
    <w:rPr>
      <w:i/>
      <w:iCs/>
    </w:rPr>
  </w:style>
  <w:style w:type="paragraph" w:styleId="Title">
    <w:name w:val="Title"/>
    <w:basedOn w:val="Normal"/>
    <w:next w:val="Normal"/>
    <w:link w:val="TitleChar"/>
    <w:uiPriority w:val="10"/>
    <w:qFormat/>
    <w:rsid w:val="00A57857"/>
    <w:pPr>
      <w:contextualSpacing/>
    </w:pPr>
    <w:rPr>
      <w:rFonts w:asciiTheme="majorHAnsi" w:eastAsiaTheme="majorEastAsia" w:hAnsiTheme="majorHAnsi" w:cstheme="majorBidi"/>
      <w:b/>
      <w:color w:val="2F5496" w:themeColor="accent1" w:themeShade="BF"/>
      <w:spacing w:val="-10"/>
      <w:kern w:val="28"/>
      <w:sz w:val="36"/>
      <w:szCs w:val="56"/>
    </w:rPr>
  </w:style>
  <w:style w:type="character" w:customStyle="1" w:styleId="TitleChar">
    <w:name w:val="Title Char"/>
    <w:basedOn w:val="DefaultParagraphFont"/>
    <w:link w:val="Title"/>
    <w:uiPriority w:val="10"/>
    <w:rsid w:val="00A57857"/>
    <w:rPr>
      <w:rFonts w:asciiTheme="majorHAnsi" w:eastAsiaTheme="majorEastAsia" w:hAnsiTheme="majorHAnsi" w:cstheme="majorBidi"/>
      <w:b/>
      <w:color w:val="2F5496" w:themeColor="accent1" w:themeShade="BF"/>
      <w:spacing w:val="-10"/>
      <w:kern w:val="28"/>
      <w:sz w:val="36"/>
      <w:szCs w:val="56"/>
    </w:rPr>
  </w:style>
  <w:style w:type="paragraph" w:customStyle="1" w:styleId="TipBox">
    <w:name w:val="Tip Box"/>
    <w:basedOn w:val="Normal"/>
    <w:qFormat/>
    <w:rsid w:val="007E0E88"/>
    <w:pPr>
      <w:spacing w:before="60" w:after="60"/>
    </w:pPr>
    <w:rPr>
      <w:rFonts w:asciiTheme="majorHAnsi" w:hAnsiTheme="majorHAnsi"/>
      <w:color w:val="0070C0"/>
      <w:spacing w:val="6"/>
      <w:sz w:val="22"/>
      <w:szCs w:val="22"/>
      <w:lang w:val="en-US"/>
    </w:rPr>
  </w:style>
  <w:style w:type="paragraph" w:customStyle="1" w:styleId="NoteBoxIcon">
    <w:name w:val="Note Box Icon"/>
    <w:basedOn w:val="Normal"/>
    <w:qFormat/>
    <w:rsid w:val="00A57857"/>
    <w:pPr>
      <w:spacing w:before="60" w:after="60"/>
    </w:pPr>
    <w:rPr>
      <w:rFonts w:ascii="Book Antiqua" w:eastAsia="Calibri" w:hAnsi="Book Antiqua"/>
      <w:sz w:val="24"/>
      <w:szCs w:val="22"/>
      <w:lang w:val="en-US"/>
    </w:rPr>
  </w:style>
  <w:style w:type="character" w:customStyle="1" w:styleId="TipText">
    <w:name w:val="Tip Text"/>
    <w:basedOn w:val="DefaultParagraphFont"/>
    <w:qFormat/>
    <w:rsid w:val="00920AB0"/>
    <w:rPr>
      <w:color w:val="C00000"/>
      <w:sz w:val="20"/>
    </w:rPr>
  </w:style>
  <w:style w:type="character" w:customStyle="1" w:styleId="reference">
    <w:name w:val="reference"/>
    <w:basedOn w:val="DefaultParagraphFont"/>
    <w:uiPriority w:val="1"/>
    <w:qFormat/>
    <w:rsid w:val="007E0E88"/>
    <w:rPr>
      <w:b w:val="0"/>
      <w:i/>
    </w:rPr>
  </w:style>
  <w:style w:type="paragraph" w:styleId="ListParagraph">
    <w:name w:val="List Paragraph"/>
    <w:basedOn w:val="Normal"/>
    <w:uiPriority w:val="34"/>
    <w:qFormat/>
    <w:rsid w:val="00BD346A"/>
    <w:pPr>
      <w:ind w:left="720"/>
      <w:contextualSpacing/>
    </w:pPr>
  </w:style>
  <w:style w:type="character" w:customStyle="1" w:styleId="button">
    <w:name w:val="button"/>
    <w:basedOn w:val="DefaultParagraphFont"/>
    <w:uiPriority w:val="1"/>
    <w:qFormat/>
    <w:rsid w:val="00C54CF3"/>
    <w:rPr>
      <w:b/>
    </w:rPr>
  </w:style>
  <w:style w:type="paragraph" w:customStyle="1" w:styleId="Step">
    <w:name w:val="Step"/>
    <w:basedOn w:val="ListNumber"/>
    <w:uiPriority w:val="99"/>
    <w:rsid w:val="00C54CF3"/>
    <w:pPr>
      <w:spacing w:after="160"/>
    </w:pPr>
    <w:rPr>
      <w:rFonts w:cs="Levenim MT"/>
      <w:sz w:val="24"/>
      <w:lang w:val="en-US"/>
    </w:rPr>
  </w:style>
  <w:style w:type="paragraph" w:styleId="ListNumber">
    <w:name w:val="List Number"/>
    <w:basedOn w:val="Normal"/>
    <w:uiPriority w:val="99"/>
    <w:semiHidden/>
    <w:unhideWhenUsed/>
    <w:rsid w:val="00C54CF3"/>
    <w:pPr>
      <w:ind w:left="720" w:hanging="360"/>
      <w:contextualSpacing/>
    </w:pPr>
  </w:style>
  <w:style w:type="paragraph" w:styleId="BodyText2">
    <w:name w:val="Body Text 2"/>
    <w:basedOn w:val="Normal"/>
    <w:link w:val="BodyText2Char"/>
    <w:rsid w:val="00A22033"/>
    <w:pPr>
      <w:spacing w:after="120" w:line="480" w:lineRule="auto"/>
    </w:pPr>
    <w:rPr>
      <w:rFonts w:ascii="Arial" w:eastAsia="Times New Roman" w:hAnsi="Arial" w:cs="Times New Roman"/>
      <w:sz w:val="24"/>
    </w:rPr>
  </w:style>
  <w:style w:type="character" w:customStyle="1" w:styleId="BodyText2Char">
    <w:name w:val="Body Text 2 Char"/>
    <w:basedOn w:val="DefaultParagraphFont"/>
    <w:link w:val="BodyText2"/>
    <w:rsid w:val="00A22033"/>
    <w:rPr>
      <w:rFonts w:ascii="Arial" w:eastAsia="Times New Roman" w:hAnsi="Arial" w:cs="Times New Roman"/>
    </w:rPr>
  </w:style>
  <w:style w:type="character" w:styleId="Hyperlink">
    <w:name w:val="Hyperlink"/>
    <w:basedOn w:val="DefaultParagraphFont"/>
    <w:uiPriority w:val="99"/>
    <w:unhideWhenUsed/>
    <w:rsid w:val="00C14010"/>
    <w:rPr>
      <w:color w:val="0563C1" w:themeColor="hyperlink"/>
      <w:u w:val="single"/>
    </w:rPr>
  </w:style>
  <w:style w:type="character" w:styleId="UnresolvedMention">
    <w:name w:val="Unresolved Mention"/>
    <w:basedOn w:val="DefaultParagraphFont"/>
    <w:uiPriority w:val="99"/>
    <w:semiHidden/>
    <w:unhideWhenUsed/>
    <w:rsid w:val="00C14010"/>
    <w:rPr>
      <w:color w:val="605E5C"/>
      <w:shd w:val="clear" w:color="auto" w:fill="E1DFDD"/>
    </w:rPr>
  </w:style>
  <w:style w:type="character" w:styleId="FollowedHyperlink">
    <w:name w:val="FollowedHyperlink"/>
    <w:basedOn w:val="DefaultParagraphFont"/>
    <w:uiPriority w:val="99"/>
    <w:semiHidden/>
    <w:unhideWhenUsed/>
    <w:rsid w:val="00C77D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548643">
      <w:bodyDiv w:val="1"/>
      <w:marLeft w:val="0"/>
      <w:marRight w:val="0"/>
      <w:marTop w:val="0"/>
      <w:marBottom w:val="0"/>
      <w:divBdr>
        <w:top w:val="none" w:sz="0" w:space="0" w:color="auto"/>
        <w:left w:val="none" w:sz="0" w:space="0" w:color="auto"/>
        <w:bottom w:val="none" w:sz="0" w:space="0" w:color="auto"/>
        <w:right w:val="none" w:sz="0" w:space="0" w:color="auto"/>
      </w:divBdr>
    </w:div>
    <w:div w:id="1721902376">
      <w:bodyDiv w:val="1"/>
      <w:marLeft w:val="0"/>
      <w:marRight w:val="0"/>
      <w:marTop w:val="0"/>
      <w:marBottom w:val="0"/>
      <w:divBdr>
        <w:top w:val="none" w:sz="0" w:space="0" w:color="auto"/>
        <w:left w:val="none" w:sz="0" w:space="0" w:color="auto"/>
        <w:bottom w:val="none" w:sz="0" w:space="0" w:color="auto"/>
        <w:right w:val="none" w:sz="0" w:space="0" w:color="auto"/>
      </w:divBdr>
    </w:div>
    <w:div w:id="1819177874">
      <w:bodyDiv w:val="1"/>
      <w:marLeft w:val="0"/>
      <w:marRight w:val="0"/>
      <w:marTop w:val="0"/>
      <w:marBottom w:val="0"/>
      <w:divBdr>
        <w:top w:val="none" w:sz="0" w:space="0" w:color="auto"/>
        <w:left w:val="none" w:sz="0" w:space="0" w:color="auto"/>
        <w:bottom w:val="none" w:sz="0" w:space="0" w:color="auto"/>
        <w:right w:val="none" w:sz="0" w:space="0" w:color="auto"/>
      </w:divBdr>
    </w:div>
    <w:div w:id="197270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oyaldevonstaff.nhs.uk/maternity-resources-eas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royaldevonstaff.nhs.uk/maternity-policies-and-guidelines-nor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eKat\AppData\Local\Microsoft\Windows\INetCache\Content.Outlook\3Z34IFSO\Tip%20Sheet%20Nightinga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Standar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895ECAF61DC4D93E44FDFE21368E6" ma:contentTypeVersion="1" ma:contentTypeDescription="Create a new document." ma:contentTypeScope="" ma:versionID="064fdea3b53081ea1ad96cbfd0567e96">
  <xsd:schema xmlns:xsd="http://www.w3.org/2001/XMLSchema" xmlns:xs="http://www.w3.org/2001/XMLSchema" xmlns:p="http://schemas.microsoft.com/office/2006/metadata/properties" xmlns:ns2="0882d5c9-8f91-40c6-8f77-9138a375c130" targetNamespace="http://schemas.microsoft.com/office/2006/metadata/properties" ma:root="true" ma:fieldsID="23825ff72b9d4fbe190ac3ab2dbf77a2" ns2:_="">
    <xsd:import namespace="0882d5c9-8f91-40c6-8f77-9138a375c13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2d5c9-8f91-40c6-8f77-9138a375c1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218E91-3EFF-4779-8917-033A22EE1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2d5c9-8f91-40c6-8f77-9138a375c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E7347-BB4D-40B6-BEFC-6923F010F9F7}">
  <ds:schemaRefs>
    <ds:schemaRef ds:uri="http://schemas.microsoft.com/sharepoint/v3/contenttype/forms"/>
  </ds:schemaRefs>
</ds:datastoreItem>
</file>

<file path=customXml/itemProps3.xml><?xml version="1.0" encoding="utf-8"?>
<ds:datastoreItem xmlns:ds="http://schemas.openxmlformats.org/officeDocument/2006/customXml" ds:itemID="{773316C8-E0AF-4014-830C-574B9393268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882d5c9-8f91-40c6-8f77-9138a375c13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Tip Sheet Nightingale Template.dotx</Template>
  <TotalTime>0</TotalTime>
  <Pages>2</Pages>
  <Words>410</Words>
  <Characters>2342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Rose (Royal Devon and Exeter Foundation Trust)</dc:creator>
  <cp:keywords/>
  <dc:description/>
  <cp:lastModifiedBy>Davies Jeni (Royal Devon and Exeter Foundation Trust)</cp:lastModifiedBy>
  <cp:revision>2</cp:revision>
  <dcterms:created xsi:type="dcterms:W3CDTF">2025-01-30T12:41:00Z</dcterms:created>
  <dcterms:modified xsi:type="dcterms:W3CDTF">2025-01-30T12:41:00Z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0x010100BDE895ECAF61DC4D93E44FDFE21368E6</vt:lpwstr>
  </property>
</Properties>
</file>